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AF" w:rsidRDefault="003F00AF" w:rsidP="003F00AF">
      <w:pPr>
        <w:rPr>
          <w:rFonts w:cs="Arial"/>
        </w:rPr>
      </w:pPr>
    </w:p>
    <w:p w:rsidR="00DF76BF" w:rsidRPr="009F2256" w:rsidRDefault="00DF76BF" w:rsidP="003F00AF">
      <w:pPr>
        <w:rPr>
          <w:rFonts w:cs="Arial"/>
        </w:rPr>
      </w:pPr>
    </w:p>
    <w:p w:rsidR="00253986" w:rsidRPr="00001A82" w:rsidRDefault="002C015E" w:rsidP="00253986">
      <w:pPr>
        <w:shd w:val="clear" w:color="auto" w:fill="00844B"/>
        <w:rPr>
          <w:rFonts w:cs="Arial"/>
          <w:b/>
          <w:sz w:val="20"/>
          <w:szCs w:val="20"/>
        </w:rPr>
      </w:pPr>
      <w:r w:rsidRPr="002C015E">
        <w:rPr>
          <w:rFonts w:cs="Arial"/>
          <w:b/>
          <w:color w:val="FFFFFF"/>
        </w:rPr>
        <w:t>Rüstungsmanager vor Gericht –</w:t>
      </w:r>
      <w:r>
        <w:rPr>
          <w:rFonts w:cs="Arial"/>
          <w:b/>
          <w:color w:val="FFFFFF"/>
        </w:rPr>
        <w:t xml:space="preserve"> </w:t>
      </w:r>
      <w:bookmarkStart w:id="0" w:name="_GoBack"/>
      <w:bookmarkEnd w:id="0"/>
      <w:r w:rsidR="00253986" w:rsidRPr="00175200">
        <w:rPr>
          <w:rFonts w:cs="Arial"/>
          <w:b/>
          <w:color w:val="FFFFFF"/>
        </w:rPr>
        <w:t>Sätze beenden (Differenzierung)</w:t>
      </w:r>
    </w:p>
    <w:p w:rsidR="00253986" w:rsidRPr="00001A82" w:rsidRDefault="00175200" w:rsidP="00253986">
      <w:pPr>
        <w:rPr>
          <w:rFonts w:cs="Arial"/>
          <w:b/>
          <w:sz w:val="20"/>
          <w:szCs w:val="20"/>
        </w:rPr>
      </w:pPr>
      <w:r>
        <w:rPr>
          <w:rFonts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60" type="#_x0000_t75" alt="01_stift.jpg" style="position:absolute;margin-left:-35.7pt;margin-top:11.85pt;width:26.3pt;height:27.35pt;z-index:1;visibility:visible" wrapcoords="-1232 0 -1232 20139 22175 20139 22175 0 -1232 0">
            <v:imagedata r:id="rId7" o:title="01_stift"/>
            <w10:wrap type="through"/>
          </v:shape>
        </w:pict>
      </w:r>
    </w:p>
    <w:p w:rsidR="00253986" w:rsidRPr="00001A82" w:rsidRDefault="00253986" w:rsidP="00253986">
      <w:pPr>
        <w:jc w:val="both"/>
        <w:rPr>
          <w:rFonts w:cs="Arial"/>
          <w:b/>
          <w:sz w:val="20"/>
          <w:szCs w:val="20"/>
        </w:rPr>
      </w:pPr>
      <w:r w:rsidRPr="00001A82">
        <w:rPr>
          <w:rFonts w:cs="Arial"/>
          <w:b/>
          <w:sz w:val="20"/>
          <w:szCs w:val="20"/>
        </w:rPr>
        <w:t xml:space="preserve">Schauen Sie den Film „Tödliche Exporte – </w:t>
      </w:r>
      <w:r w:rsidRPr="00001A82">
        <w:rPr>
          <w:rFonts w:eastAsia="Calibri" w:cs="Arial"/>
          <w:b/>
          <w:sz w:val="20"/>
          <w:szCs w:val="20"/>
        </w:rPr>
        <w:t>Rüstungsmanager vor Gericht“</w:t>
      </w:r>
      <w:r w:rsidRPr="00001A82">
        <w:rPr>
          <w:rFonts w:cs="Arial"/>
          <w:b/>
          <w:sz w:val="20"/>
          <w:szCs w:val="20"/>
        </w:rPr>
        <w:t xml:space="preserve"> an und versuchen Sie folgende Sätze zu beenden:</w:t>
      </w:r>
    </w:p>
    <w:p w:rsidR="00253986" w:rsidRDefault="00253986" w:rsidP="00253986">
      <w:pPr>
        <w:spacing w:line="360" w:lineRule="auto"/>
        <w:jc w:val="both"/>
        <w:rPr>
          <w:rFonts w:cs="Arial"/>
          <w:sz w:val="20"/>
          <w:szCs w:val="20"/>
        </w:rPr>
      </w:pPr>
    </w:p>
    <w:p w:rsidR="00253986" w:rsidRPr="00001A82" w:rsidRDefault="00253986" w:rsidP="00253986">
      <w:pPr>
        <w:spacing w:line="360" w:lineRule="auto"/>
        <w:jc w:val="both"/>
        <w:rPr>
          <w:rFonts w:cs="Arial"/>
          <w:sz w:val="20"/>
          <w:szCs w:val="20"/>
        </w:rPr>
      </w:pPr>
    </w:p>
    <w:p w:rsidR="00253986" w:rsidRDefault="00253986" w:rsidP="00253986">
      <w:pPr>
        <w:spacing w:line="276" w:lineRule="auto"/>
        <w:jc w:val="both"/>
        <w:rPr>
          <w:rFonts w:cs="Arial"/>
          <w:sz w:val="20"/>
          <w:szCs w:val="20"/>
        </w:rPr>
      </w:pPr>
      <w:r w:rsidRPr="00001A82">
        <w:rPr>
          <w:rFonts w:cs="Arial"/>
          <w:sz w:val="20"/>
          <w:szCs w:val="20"/>
        </w:rPr>
        <w:t xml:space="preserve">Kurz nach den Ereignissen von Iguala werden mexikanische Polizisten, die die Morde an die 43 Studenten verübt haben sollen, festgenommen. Sie schossen unter anderem mit </w:t>
      </w:r>
      <w:r w:rsidR="00A20894" w:rsidRPr="00175200">
        <w:rPr>
          <w:rFonts w:cs="Arial"/>
          <w:color w:val="808080"/>
          <w:sz w:val="20"/>
          <w:szCs w:val="20"/>
        </w:rPr>
        <w:t>______________________________</w:t>
      </w:r>
    </w:p>
    <w:p w:rsidR="00253986" w:rsidRDefault="00253986" w:rsidP="00253986">
      <w:pPr>
        <w:spacing w:line="276" w:lineRule="auto"/>
        <w:jc w:val="both"/>
        <w:rPr>
          <w:rFonts w:cs="Arial"/>
          <w:sz w:val="20"/>
          <w:szCs w:val="20"/>
        </w:rPr>
      </w:pPr>
    </w:p>
    <w:p w:rsidR="00253986" w:rsidRPr="00001A82" w:rsidRDefault="00253986" w:rsidP="00253986">
      <w:pPr>
        <w:spacing w:line="276" w:lineRule="auto"/>
        <w:jc w:val="both"/>
        <w:rPr>
          <w:rFonts w:cs="Arial"/>
          <w:sz w:val="20"/>
          <w:szCs w:val="20"/>
        </w:rPr>
      </w:pPr>
      <w:r w:rsidRPr="00175200">
        <w:rPr>
          <w:rFonts w:cs="Arial"/>
          <w:color w:val="808080"/>
          <w:sz w:val="20"/>
          <w:szCs w:val="20"/>
        </w:rPr>
        <w:t>______________________________________________________________________________________.</w:t>
      </w:r>
    </w:p>
    <w:p w:rsidR="00253986" w:rsidRPr="00001A82" w:rsidRDefault="00253986" w:rsidP="00253986">
      <w:pPr>
        <w:spacing w:line="276" w:lineRule="auto"/>
        <w:jc w:val="both"/>
        <w:rPr>
          <w:rFonts w:cs="Arial"/>
          <w:sz w:val="16"/>
          <w:szCs w:val="16"/>
        </w:rPr>
      </w:pPr>
    </w:p>
    <w:p w:rsidR="00253986" w:rsidRDefault="00253986" w:rsidP="00253986">
      <w:pPr>
        <w:spacing w:line="276" w:lineRule="auto"/>
        <w:jc w:val="both"/>
        <w:rPr>
          <w:rFonts w:cs="Arial"/>
          <w:sz w:val="20"/>
          <w:szCs w:val="20"/>
        </w:rPr>
      </w:pPr>
      <w:r w:rsidRPr="00001A82">
        <w:rPr>
          <w:rFonts w:cs="Arial"/>
          <w:sz w:val="20"/>
          <w:szCs w:val="20"/>
        </w:rPr>
        <w:t xml:space="preserve">Damit die Waffenlieferungen von Heckler &amp; Koch nach Mexiko vom deutschen Wirtschaftsministerium genehmigt werden konnten, mussten Endverbleibserklärungen </w:t>
      </w:r>
      <w:r w:rsidR="00A20894" w:rsidRPr="00175200">
        <w:rPr>
          <w:rFonts w:cs="Arial"/>
          <w:color w:val="808080"/>
          <w:sz w:val="20"/>
          <w:szCs w:val="20"/>
        </w:rPr>
        <w:t>_________________________________</w:t>
      </w:r>
    </w:p>
    <w:p w:rsidR="00253986" w:rsidRDefault="00253986" w:rsidP="00253986">
      <w:pPr>
        <w:spacing w:line="276" w:lineRule="auto"/>
        <w:jc w:val="both"/>
        <w:rPr>
          <w:rFonts w:cs="Arial"/>
          <w:sz w:val="20"/>
          <w:szCs w:val="20"/>
        </w:rPr>
      </w:pPr>
    </w:p>
    <w:p w:rsidR="00253986" w:rsidRPr="00001A82" w:rsidRDefault="00253986" w:rsidP="00253986">
      <w:pPr>
        <w:spacing w:line="276" w:lineRule="auto"/>
        <w:jc w:val="both"/>
        <w:rPr>
          <w:rFonts w:cs="Arial"/>
          <w:sz w:val="20"/>
          <w:szCs w:val="20"/>
        </w:rPr>
      </w:pPr>
      <w:r w:rsidRPr="00175200">
        <w:rPr>
          <w:rFonts w:cs="Arial"/>
          <w:color w:val="808080"/>
          <w:sz w:val="20"/>
          <w:szCs w:val="20"/>
        </w:rPr>
        <w:t>___________________________________________________.</w:t>
      </w:r>
    </w:p>
    <w:p w:rsidR="00253986" w:rsidRPr="00001A82" w:rsidRDefault="00253986" w:rsidP="00253986">
      <w:pPr>
        <w:spacing w:line="276" w:lineRule="auto"/>
        <w:jc w:val="both"/>
        <w:rPr>
          <w:rFonts w:cs="Arial"/>
          <w:sz w:val="16"/>
          <w:szCs w:val="16"/>
        </w:rPr>
      </w:pPr>
    </w:p>
    <w:p w:rsidR="00253986" w:rsidRDefault="00253986" w:rsidP="00253986">
      <w:pPr>
        <w:spacing w:line="276" w:lineRule="auto"/>
        <w:jc w:val="both"/>
        <w:rPr>
          <w:rFonts w:cs="Arial"/>
          <w:sz w:val="20"/>
          <w:szCs w:val="20"/>
        </w:rPr>
      </w:pPr>
      <w:r w:rsidRPr="00001A82">
        <w:rPr>
          <w:rFonts w:cs="Arial"/>
          <w:sz w:val="20"/>
          <w:szCs w:val="20"/>
        </w:rPr>
        <w:t xml:space="preserve">Mit einer Endverbleibserklärung erklärt der Käufer gegenüber Bunderegierung, wohin er </w:t>
      </w:r>
    </w:p>
    <w:p w:rsidR="00253986" w:rsidRDefault="00253986" w:rsidP="00253986">
      <w:pPr>
        <w:spacing w:line="276" w:lineRule="auto"/>
        <w:jc w:val="both"/>
        <w:rPr>
          <w:rFonts w:cs="Arial"/>
          <w:sz w:val="20"/>
          <w:szCs w:val="20"/>
        </w:rPr>
      </w:pPr>
    </w:p>
    <w:p w:rsidR="00253986" w:rsidRPr="00001A82" w:rsidRDefault="00253986" w:rsidP="00253986">
      <w:pPr>
        <w:spacing w:line="276" w:lineRule="auto"/>
        <w:jc w:val="both"/>
        <w:rPr>
          <w:rFonts w:cs="Arial"/>
          <w:sz w:val="20"/>
          <w:szCs w:val="20"/>
        </w:rPr>
      </w:pPr>
      <w:r w:rsidRPr="00175200">
        <w:rPr>
          <w:rFonts w:cs="Arial"/>
          <w:color w:val="808080"/>
          <w:sz w:val="20"/>
          <w:szCs w:val="20"/>
        </w:rPr>
        <w:t>_____________________________________________________.</w:t>
      </w:r>
      <w:r w:rsidRPr="00001A82">
        <w:rPr>
          <w:rFonts w:cs="Arial"/>
          <w:sz w:val="20"/>
          <w:szCs w:val="20"/>
        </w:rPr>
        <w:t xml:space="preserve"> </w:t>
      </w:r>
    </w:p>
    <w:p w:rsidR="00253986" w:rsidRPr="00001A82" w:rsidRDefault="00253986" w:rsidP="00253986">
      <w:pPr>
        <w:spacing w:line="276" w:lineRule="auto"/>
        <w:jc w:val="both"/>
        <w:rPr>
          <w:rFonts w:cs="Arial"/>
          <w:sz w:val="16"/>
          <w:szCs w:val="16"/>
        </w:rPr>
      </w:pPr>
    </w:p>
    <w:p w:rsidR="00253986" w:rsidRDefault="00253986" w:rsidP="00253986">
      <w:pPr>
        <w:spacing w:line="276" w:lineRule="auto"/>
        <w:jc w:val="both"/>
        <w:rPr>
          <w:rFonts w:cs="Arial"/>
          <w:sz w:val="20"/>
          <w:szCs w:val="20"/>
        </w:rPr>
      </w:pPr>
      <w:r w:rsidRPr="00001A82">
        <w:rPr>
          <w:rFonts w:cs="Arial"/>
          <w:sz w:val="20"/>
          <w:szCs w:val="20"/>
        </w:rPr>
        <w:t xml:space="preserve">Der ehemalige Geschäftsführer von Heckler &amp; Koch, Peter Beyerle, bestreitet die Wichtigkeit der Endverbleibserklärungen und gibt an, nichts von den geschönten Endverbleibserklärungen </w:t>
      </w:r>
    </w:p>
    <w:p w:rsidR="00253986" w:rsidRDefault="00253986" w:rsidP="00253986">
      <w:pPr>
        <w:spacing w:line="276" w:lineRule="auto"/>
        <w:jc w:val="both"/>
        <w:rPr>
          <w:rFonts w:cs="Arial"/>
          <w:sz w:val="20"/>
          <w:szCs w:val="20"/>
        </w:rPr>
      </w:pPr>
    </w:p>
    <w:p w:rsidR="00253986" w:rsidRPr="00001A82" w:rsidRDefault="00253986" w:rsidP="00253986">
      <w:pPr>
        <w:spacing w:line="276" w:lineRule="auto"/>
        <w:jc w:val="both"/>
        <w:rPr>
          <w:rFonts w:cs="Arial"/>
          <w:sz w:val="20"/>
          <w:szCs w:val="20"/>
        </w:rPr>
      </w:pPr>
      <w:r w:rsidRPr="00175200">
        <w:rPr>
          <w:rFonts w:cs="Arial"/>
          <w:color w:val="808080"/>
          <w:sz w:val="20"/>
          <w:szCs w:val="20"/>
        </w:rPr>
        <w:t>____________________________________________________.</w:t>
      </w:r>
    </w:p>
    <w:p w:rsidR="00253986" w:rsidRPr="00001A82" w:rsidRDefault="00253986" w:rsidP="00253986">
      <w:pPr>
        <w:spacing w:line="276" w:lineRule="auto"/>
        <w:jc w:val="both"/>
        <w:rPr>
          <w:rFonts w:cs="Arial"/>
          <w:sz w:val="16"/>
          <w:szCs w:val="16"/>
        </w:rPr>
      </w:pPr>
    </w:p>
    <w:p w:rsidR="00253986" w:rsidRDefault="00253986" w:rsidP="00253986">
      <w:pPr>
        <w:spacing w:line="276" w:lineRule="auto"/>
        <w:jc w:val="both"/>
        <w:rPr>
          <w:rFonts w:cs="Arial"/>
          <w:sz w:val="20"/>
          <w:szCs w:val="20"/>
        </w:rPr>
      </w:pPr>
      <w:r w:rsidRPr="00001A82">
        <w:rPr>
          <w:rFonts w:cs="Arial"/>
          <w:sz w:val="20"/>
          <w:szCs w:val="20"/>
        </w:rPr>
        <w:t xml:space="preserve">Eine Zusammenarbeit staatlicher Behörden mit der KPMG sieht der Anwalt des ehemaligen Mexiko-Vertreters Herbert B. kritisch, weil dadurch die eigentlichen Hauptverantwortlichen </w:t>
      </w:r>
    </w:p>
    <w:p w:rsidR="00253986" w:rsidRDefault="00253986" w:rsidP="00253986">
      <w:pPr>
        <w:spacing w:line="276" w:lineRule="auto"/>
        <w:jc w:val="both"/>
        <w:rPr>
          <w:rFonts w:cs="Arial"/>
          <w:sz w:val="20"/>
          <w:szCs w:val="20"/>
        </w:rPr>
      </w:pPr>
    </w:p>
    <w:p w:rsidR="00253986" w:rsidRPr="00001A82" w:rsidRDefault="00253986" w:rsidP="00253986">
      <w:pPr>
        <w:spacing w:line="276" w:lineRule="auto"/>
        <w:jc w:val="both"/>
        <w:rPr>
          <w:rFonts w:cs="Arial"/>
          <w:sz w:val="20"/>
          <w:szCs w:val="20"/>
        </w:rPr>
      </w:pPr>
      <w:r w:rsidRPr="00175200">
        <w:rPr>
          <w:rFonts w:cs="Arial"/>
          <w:color w:val="808080"/>
          <w:sz w:val="20"/>
          <w:szCs w:val="20"/>
        </w:rPr>
        <w:t>________________________________________________________.</w:t>
      </w:r>
    </w:p>
    <w:p w:rsidR="00253986" w:rsidRPr="00001A82" w:rsidRDefault="00253986" w:rsidP="00253986">
      <w:pPr>
        <w:spacing w:line="276" w:lineRule="auto"/>
        <w:jc w:val="both"/>
        <w:rPr>
          <w:rFonts w:cs="Arial"/>
          <w:sz w:val="16"/>
          <w:szCs w:val="16"/>
        </w:rPr>
      </w:pPr>
    </w:p>
    <w:p w:rsidR="00253986" w:rsidRDefault="00253986" w:rsidP="00253986">
      <w:pPr>
        <w:spacing w:line="276" w:lineRule="auto"/>
        <w:jc w:val="both"/>
        <w:rPr>
          <w:rFonts w:cs="Arial"/>
          <w:sz w:val="20"/>
          <w:szCs w:val="20"/>
        </w:rPr>
      </w:pPr>
      <w:r w:rsidRPr="00001A82">
        <w:rPr>
          <w:rFonts w:cs="Arial"/>
          <w:sz w:val="20"/>
          <w:szCs w:val="20"/>
        </w:rPr>
        <w:t xml:space="preserve">Laut Ergebnissen der Untersuchung der Wirtschaftsprüfungsgesellschaft KPMG werden ein Vertriebsmitarbeiter, der Mexiko-Vertreter und die Sekretärin als Beschuldigte mit wesentlichen Auffälligkeiten für die ‚krummen‘ Waffengeschäfte </w:t>
      </w:r>
      <w:r w:rsidR="00A20894" w:rsidRPr="00175200">
        <w:rPr>
          <w:rFonts w:cs="Arial"/>
          <w:color w:val="808080"/>
          <w:sz w:val="20"/>
          <w:szCs w:val="20"/>
        </w:rPr>
        <w:t>__________________________________________</w:t>
      </w:r>
    </w:p>
    <w:p w:rsidR="00253986" w:rsidRDefault="00253986" w:rsidP="00253986">
      <w:pPr>
        <w:spacing w:line="276" w:lineRule="auto"/>
        <w:jc w:val="both"/>
        <w:rPr>
          <w:rFonts w:cs="Arial"/>
          <w:sz w:val="20"/>
          <w:szCs w:val="20"/>
        </w:rPr>
      </w:pPr>
    </w:p>
    <w:p w:rsidR="00253986" w:rsidRPr="00001A82" w:rsidRDefault="00253986" w:rsidP="00253986">
      <w:pPr>
        <w:spacing w:line="276" w:lineRule="auto"/>
        <w:jc w:val="both"/>
        <w:rPr>
          <w:rFonts w:cs="Arial"/>
          <w:sz w:val="20"/>
          <w:szCs w:val="20"/>
        </w:rPr>
      </w:pPr>
      <w:r w:rsidRPr="00175200">
        <w:rPr>
          <w:rFonts w:cs="Arial"/>
          <w:color w:val="808080"/>
          <w:sz w:val="20"/>
          <w:szCs w:val="20"/>
        </w:rPr>
        <w:t>____________________________________________________</w:t>
      </w:r>
      <w:r w:rsidRPr="00001A82">
        <w:rPr>
          <w:rFonts w:cs="Arial"/>
          <w:sz w:val="20"/>
          <w:szCs w:val="20"/>
        </w:rPr>
        <w:t xml:space="preserve"> .</w:t>
      </w:r>
    </w:p>
    <w:p w:rsidR="00253986" w:rsidRPr="00001A82" w:rsidRDefault="00253986" w:rsidP="00253986">
      <w:pPr>
        <w:spacing w:line="276" w:lineRule="auto"/>
        <w:jc w:val="both"/>
        <w:rPr>
          <w:rFonts w:cs="Arial"/>
          <w:sz w:val="20"/>
          <w:szCs w:val="20"/>
        </w:rPr>
      </w:pPr>
    </w:p>
    <w:p w:rsidR="00253986" w:rsidRPr="00001A82" w:rsidRDefault="00253986" w:rsidP="00A20894">
      <w:pPr>
        <w:spacing w:line="360" w:lineRule="auto"/>
        <w:jc w:val="both"/>
        <w:rPr>
          <w:rFonts w:cs="Arial"/>
          <w:sz w:val="20"/>
          <w:szCs w:val="20"/>
        </w:rPr>
      </w:pPr>
      <w:r w:rsidRPr="00001A82">
        <w:rPr>
          <w:rFonts w:cs="Arial"/>
          <w:sz w:val="20"/>
          <w:szCs w:val="20"/>
        </w:rPr>
        <w:t xml:space="preserve">Im Gerichtsverfahren um die illegalen Waffenexporte nach Mexiko werden im Februar 2019 beide ehemaligen Geschäftsführer von Heckler &amp; Koch </w:t>
      </w:r>
      <w:r w:rsidRPr="00175200">
        <w:rPr>
          <w:rFonts w:cs="Arial"/>
          <w:color w:val="808080"/>
          <w:sz w:val="20"/>
          <w:szCs w:val="20"/>
        </w:rPr>
        <w:t>______________________________________________.</w:t>
      </w:r>
    </w:p>
    <w:p w:rsidR="00253986" w:rsidRDefault="00253986" w:rsidP="00253986">
      <w:pPr>
        <w:spacing w:line="276" w:lineRule="auto"/>
        <w:jc w:val="both"/>
        <w:rPr>
          <w:rFonts w:cs="Arial"/>
          <w:sz w:val="16"/>
          <w:szCs w:val="16"/>
        </w:rPr>
      </w:pPr>
    </w:p>
    <w:p w:rsidR="00253986" w:rsidRPr="00001A82" w:rsidRDefault="00253986" w:rsidP="00253986">
      <w:pPr>
        <w:spacing w:line="276" w:lineRule="auto"/>
        <w:jc w:val="both"/>
        <w:rPr>
          <w:rFonts w:cs="Arial"/>
          <w:sz w:val="16"/>
          <w:szCs w:val="16"/>
        </w:rPr>
      </w:pPr>
    </w:p>
    <w:p w:rsidR="00253986" w:rsidRPr="00001A82" w:rsidRDefault="00253986" w:rsidP="00A20894">
      <w:pPr>
        <w:spacing w:line="360" w:lineRule="auto"/>
        <w:jc w:val="both"/>
        <w:rPr>
          <w:rFonts w:cs="Arial"/>
          <w:sz w:val="20"/>
          <w:szCs w:val="20"/>
        </w:rPr>
      </w:pPr>
      <w:r w:rsidRPr="00001A82">
        <w:rPr>
          <w:rFonts w:cs="Arial"/>
          <w:sz w:val="20"/>
          <w:szCs w:val="20"/>
        </w:rPr>
        <w:t xml:space="preserve">Deutsche Waffen von SIG Sauer kamen nach Kolumbien, weil das amerikanische Schwesterunternehmen diese Waffen </w:t>
      </w:r>
      <w:r w:rsidRPr="00175200">
        <w:rPr>
          <w:rFonts w:cs="Arial"/>
          <w:color w:val="808080"/>
          <w:sz w:val="20"/>
          <w:szCs w:val="20"/>
        </w:rPr>
        <w:t>________________________________________________________</w:t>
      </w:r>
      <w:r w:rsidR="00A20894" w:rsidRPr="00175200">
        <w:rPr>
          <w:rFonts w:cs="Arial"/>
          <w:color w:val="808080"/>
          <w:sz w:val="20"/>
          <w:szCs w:val="20"/>
        </w:rPr>
        <w:t>_________</w:t>
      </w:r>
      <w:r w:rsidRPr="00175200">
        <w:rPr>
          <w:rFonts w:cs="Arial"/>
          <w:color w:val="808080"/>
          <w:sz w:val="20"/>
          <w:szCs w:val="20"/>
        </w:rPr>
        <w:t>______.</w:t>
      </w:r>
    </w:p>
    <w:p w:rsidR="00253986" w:rsidRPr="00001A82" w:rsidRDefault="00253986" w:rsidP="00253986">
      <w:pPr>
        <w:spacing w:line="276" w:lineRule="auto"/>
        <w:jc w:val="both"/>
        <w:rPr>
          <w:rFonts w:cs="Arial"/>
          <w:sz w:val="16"/>
          <w:szCs w:val="16"/>
        </w:rPr>
      </w:pPr>
    </w:p>
    <w:p w:rsidR="00253986" w:rsidRDefault="00253986" w:rsidP="00253986">
      <w:pPr>
        <w:spacing w:line="276" w:lineRule="auto"/>
        <w:jc w:val="both"/>
        <w:rPr>
          <w:rFonts w:cs="Arial"/>
          <w:sz w:val="20"/>
          <w:szCs w:val="20"/>
        </w:rPr>
      </w:pPr>
    </w:p>
    <w:p w:rsidR="00253986" w:rsidRDefault="00253986" w:rsidP="00253986">
      <w:pPr>
        <w:spacing w:line="276" w:lineRule="auto"/>
        <w:jc w:val="both"/>
        <w:rPr>
          <w:rFonts w:cs="Arial"/>
          <w:sz w:val="20"/>
          <w:szCs w:val="20"/>
        </w:rPr>
      </w:pPr>
      <w:r w:rsidRPr="00001A82">
        <w:rPr>
          <w:rFonts w:cs="Arial"/>
          <w:sz w:val="20"/>
          <w:szCs w:val="20"/>
        </w:rPr>
        <w:t xml:space="preserve">Die Bundesregierung bestätigt, dass SIG Sauer Deutschland seit dem Jahr 2000 insgesamt 26 Genehmigungen für Technologietransfer an SIG Sauer USA erteilt wurden. Die Weitergabe der Technologien nach Mexiko ist nach deutschem Recht nur mit einer weiteren </w:t>
      </w:r>
    </w:p>
    <w:p w:rsidR="00253986" w:rsidRDefault="00253986" w:rsidP="00253986">
      <w:pPr>
        <w:spacing w:line="276" w:lineRule="auto"/>
        <w:jc w:val="both"/>
        <w:rPr>
          <w:rFonts w:cs="Arial"/>
          <w:sz w:val="20"/>
          <w:szCs w:val="20"/>
        </w:rPr>
      </w:pPr>
    </w:p>
    <w:p w:rsidR="00253986" w:rsidRPr="00001A82" w:rsidRDefault="00253986" w:rsidP="00253986">
      <w:pPr>
        <w:spacing w:line="276" w:lineRule="auto"/>
        <w:jc w:val="both"/>
        <w:rPr>
          <w:rFonts w:cs="Arial"/>
          <w:sz w:val="20"/>
          <w:szCs w:val="20"/>
        </w:rPr>
      </w:pPr>
      <w:r w:rsidRPr="00175200">
        <w:rPr>
          <w:rFonts w:cs="Arial"/>
          <w:color w:val="808080"/>
          <w:sz w:val="20"/>
          <w:szCs w:val="20"/>
        </w:rPr>
        <w:t>________________________________________________________________________.</w:t>
      </w:r>
    </w:p>
    <w:sectPr w:rsidR="00253986" w:rsidRPr="00001A82"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200" w:rsidRDefault="00175200" w:rsidP="00263140">
      <w:r>
        <w:separator/>
      </w:r>
    </w:p>
  </w:endnote>
  <w:endnote w:type="continuationSeparator" w:id="0">
    <w:p w:rsidR="00175200" w:rsidRDefault="00175200" w:rsidP="0026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OfficinaSans LT Book">
    <w:altName w:val="Calibri"/>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96" w:rsidRPr="00706784" w:rsidRDefault="00175200">
    <w:pPr>
      <w:pStyle w:val="Fuzeile"/>
      <w:rPr>
        <w:rFonts w:ascii="ITCOfficinaSans LT Book" w:hAnsi="ITCOfficinaSans LT Book"/>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BA3800">
      <w:rPr>
        <w:rFonts w:cs="Arial"/>
        <w:b/>
        <w:sz w:val="18"/>
        <w:szCs w:val="18"/>
      </w:rPr>
      <w:t>Planet Schule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200" w:rsidRDefault="00175200" w:rsidP="00263140">
      <w:r>
        <w:separator/>
      </w:r>
    </w:p>
  </w:footnote>
  <w:footnote w:type="continuationSeparator" w:id="0">
    <w:p w:rsidR="00175200" w:rsidRDefault="00175200" w:rsidP="0026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955C65" w:rsidRDefault="00175200" w:rsidP="001D4930">
    <w:pPr>
      <w:pStyle w:val="Kopfzeile"/>
      <w:tabs>
        <w:tab w:val="clear" w:pos="4536"/>
        <w:tab w:val="left" w:pos="6521"/>
      </w:tabs>
      <w:spacing w:after="60" w:line="276" w:lineRule="auto"/>
      <w:rPr>
        <w:rFonts w:cs="Arial"/>
        <w:b/>
      </w:rPr>
    </w:pPr>
    <w:r>
      <w:rPr>
        <w:rFonts w:cs="Arial"/>
        <w:noProof/>
        <w:sz w:val="18"/>
        <w:szCs w:val="18"/>
      </w:rPr>
      <w:pict>
        <v:shapetype id="_x0000_t32" coordsize="21600,21600" o:spt="32" o:oned="t" path="m,l21600,21600e" filled="f">
          <v:path arrowok="t" fillok="f" o:connecttype="none"/>
          <o:lock v:ext="edit" shapetype="t"/>
        </v:shapetype>
        <v:shape id="_x0000_s2049"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2051"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4602FC">
      <w:rPr>
        <w:rFonts w:cs="Arial"/>
        <w:b/>
      </w:rPr>
      <w:t>Arbeitsb</w:t>
    </w:r>
    <w:r w:rsidR="002841AF" w:rsidRPr="00955C65">
      <w:rPr>
        <w:rFonts w:cs="Arial"/>
        <w:b/>
      </w:rPr>
      <w:t xml:space="preserve">latt </w:t>
    </w:r>
    <w:r w:rsidR="00C0670D">
      <w:rPr>
        <w:rFonts w:cs="Arial"/>
        <w:b/>
      </w:rPr>
      <w:t>7</w:t>
    </w:r>
    <w:r w:rsidR="00253986">
      <w:rPr>
        <w:rFonts w:cs="Arial"/>
        <w:b/>
      </w:rPr>
      <w:t>b</w:t>
    </w:r>
    <w:r w:rsidR="00FD6639" w:rsidRPr="00955C65">
      <w:rPr>
        <w:rFonts w:cs="Arial"/>
        <w:b/>
      </w:rPr>
      <w:t xml:space="preserve">: </w:t>
    </w:r>
    <w:r w:rsidR="00253986">
      <w:rPr>
        <w:rFonts w:cs="Arial"/>
        <w:b/>
      </w:rPr>
      <w:t>Sätze beenden (Differenzierung)</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01020E" w:rsidP="00BF6418">
    <w:pPr>
      <w:pStyle w:val="Kopfzeile"/>
      <w:shd w:val="clear" w:color="auto" w:fill="DBE5F1"/>
      <w:spacing w:before="60" w:after="60"/>
      <w:rPr>
        <w:rFonts w:cs="Arial"/>
        <w:sz w:val="16"/>
        <w:szCs w:val="16"/>
      </w:rPr>
    </w:pPr>
    <w:r>
      <w:rPr>
        <w:rFonts w:cs="Arial"/>
        <w:sz w:val="18"/>
        <w:szCs w:val="18"/>
      </w:rPr>
      <w:t>Tödliche Exporte</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sidRPr="009F2256">
      <w:rPr>
        <w:rFonts w:cs="Arial"/>
        <w:sz w:val="18"/>
        <w:szCs w:val="18"/>
      </w:rPr>
      <w:t>Wie das G36 nach Mexiko kam/Rüstungsmanager vor Gerich</w:t>
    </w:r>
    <w:r>
      <w:rPr>
        <w:rFonts w:cs="Arial"/>
        <w:sz w:val="18"/>
        <w:szCs w:val="18"/>
      </w:rPr>
      <w:t>t</w:t>
    </w:r>
    <w:r w:rsidRPr="00955C65">
      <w:rPr>
        <w:rFonts w:cs="Arial"/>
        <w:sz w:val="16"/>
        <w:szCs w:val="16"/>
      </w:rPr>
      <w:t xml:space="preserve"> </w:t>
    </w:r>
    <w:r w:rsidR="00FE0174" w:rsidRPr="00955C65">
      <w:rPr>
        <w:rFonts w:cs="Arial"/>
        <w:sz w:val="16"/>
        <w:szCs w:val="16"/>
      </w:rPr>
      <w:t>(Sendung)</w:t>
    </w:r>
    <w:r w:rsidR="00FE0174" w:rsidRPr="00955C65">
      <w:rPr>
        <w:rFonts w:cs="Arial"/>
        <w:sz w:val="18"/>
        <w:szCs w:val="18"/>
      </w:rPr>
      <w:br/>
    </w:r>
    <w:r w:rsidRPr="009F2256">
      <w:rPr>
        <w:rFonts w:cs="Arial"/>
        <w:sz w:val="18"/>
        <w:szCs w:val="18"/>
      </w:rPr>
      <w:t>46800535 + 46800534</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4" fillcolor="white" stroke="f">
      <v:fill color="white"/>
      <v:stroke on="f"/>
      <v:textbox inset="0,0,.5mm,0"/>
    </o:shapedefaults>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C5C"/>
    <w:rsid w:val="00001B03"/>
    <w:rsid w:val="0001020E"/>
    <w:rsid w:val="00027F5B"/>
    <w:rsid w:val="000429BB"/>
    <w:rsid w:val="0009253E"/>
    <w:rsid w:val="000A2378"/>
    <w:rsid w:val="000D7308"/>
    <w:rsid w:val="000D7470"/>
    <w:rsid w:val="000E5125"/>
    <w:rsid w:val="000F4635"/>
    <w:rsid w:val="00110185"/>
    <w:rsid w:val="00123A71"/>
    <w:rsid w:val="00144E24"/>
    <w:rsid w:val="001724D8"/>
    <w:rsid w:val="00175200"/>
    <w:rsid w:val="001870CF"/>
    <w:rsid w:val="001B690E"/>
    <w:rsid w:val="001C0552"/>
    <w:rsid w:val="001D4930"/>
    <w:rsid w:val="00211A85"/>
    <w:rsid w:val="00253986"/>
    <w:rsid w:val="00263140"/>
    <w:rsid w:val="002841AF"/>
    <w:rsid w:val="002A66EB"/>
    <w:rsid w:val="002C015E"/>
    <w:rsid w:val="003142A3"/>
    <w:rsid w:val="00384789"/>
    <w:rsid w:val="003979D8"/>
    <w:rsid w:val="003A076E"/>
    <w:rsid w:val="003B7796"/>
    <w:rsid w:val="003F00AF"/>
    <w:rsid w:val="00401AD6"/>
    <w:rsid w:val="00424F70"/>
    <w:rsid w:val="004602FC"/>
    <w:rsid w:val="004754DF"/>
    <w:rsid w:val="004C435D"/>
    <w:rsid w:val="004D1C66"/>
    <w:rsid w:val="004D61EC"/>
    <w:rsid w:val="004E0585"/>
    <w:rsid w:val="005357E7"/>
    <w:rsid w:val="00543741"/>
    <w:rsid w:val="00547257"/>
    <w:rsid w:val="005631E9"/>
    <w:rsid w:val="00571F37"/>
    <w:rsid w:val="005940D8"/>
    <w:rsid w:val="005C6843"/>
    <w:rsid w:val="00623C59"/>
    <w:rsid w:val="00630C9D"/>
    <w:rsid w:val="00644004"/>
    <w:rsid w:val="006832F7"/>
    <w:rsid w:val="00696C3E"/>
    <w:rsid w:val="006B0A1A"/>
    <w:rsid w:val="006B4884"/>
    <w:rsid w:val="006C1BCD"/>
    <w:rsid w:val="006C328A"/>
    <w:rsid w:val="006D0F9E"/>
    <w:rsid w:val="006E6D08"/>
    <w:rsid w:val="006E71B7"/>
    <w:rsid w:val="00704F8E"/>
    <w:rsid w:val="00706784"/>
    <w:rsid w:val="00710ABA"/>
    <w:rsid w:val="00710F3C"/>
    <w:rsid w:val="007D2B2C"/>
    <w:rsid w:val="007F06B5"/>
    <w:rsid w:val="008018DF"/>
    <w:rsid w:val="00810655"/>
    <w:rsid w:val="00826475"/>
    <w:rsid w:val="00843C42"/>
    <w:rsid w:val="008D370F"/>
    <w:rsid w:val="008D489A"/>
    <w:rsid w:val="008E4ADB"/>
    <w:rsid w:val="009140C5"/>
    <w:rsid w:val="009523A2"/>
    <w:rsid w:val="00955C65"/>
    <w:rsid w:val="009A464F"/>
    <w:rsid w:val="009A789B"/>
    <w:rsid w:val="009B736F"/>
    <w:rsid w:val="009D0387"/>
    <w:rsid w:val="009E3C5C"/>
    <w:rsid w:val="009E4A6B"/>
    <w:rsid w:val="009F394A"/>
    <w:rsid w:val="009F5F07"/>
    <w:rsid w:val="00A03955"/>
    <w:rsid w:val="00A112A3"/>
    <w:rsid w:val="00A14801"/>
    <w:rsid w:val="00A20894"/>
    <w:rsid w:val="00A44108"/>
    <w:rsid w:val="00A96D26"/>
    <w:rsid w:val="00AA608F"/>
    <w:rsid w:val="00AB506B"/>
    <w:rsid w:val="00AE2A3F"/>
    <w:rsid w:val="00B24E76"/>
    <w:rsid w:val="00B60F5E"/>
    <w:rsid w:val="00B822B1"/>
    <w:rsid w:val="00BA3800"/>
    <w:rsid w:val="00BA6869"/>
    <w:rsid w:val="00BF2E90"/>
    <w:rsid w:val="00BF6418"/>
    <w:rsid w:val="00C0670D"/>
    <w:rsid w:val="00C1110B"/>
    <w:rsid w:val="00C15078"/>
    <w:rsid w:val="00C4168F"/>
    <w:rsid w:val="00C5401E"/>
    <w:rsid w:val="00C7053F"/>
    <w:rsid w:val="00CB388A"/>
    <w:rsid w:val="00CC1F14"/>
    <w:rsid w:val="00CC6745"/>
    <w:rsid w:val="00CD3472"/>
    <w:rsid w:val="00CD49F8"/>
    <w:rsid w:val="00CF476E"/>
    <w:rsid w:val="00D10417"/>
    <w:rsid w:val="00D41041"/>
    <w:rsid w:val="00D65AED"/>
    <w:rsid w:val="00DA0F20"/>
    <w:rsid w:val="00DA21E4"/>
    <w:rsid w:val="00DC3F9F"/>
    <w:rsid w:val="00DE50A5"/>
    <w:rsid w:val="00DF76BF"/>
    <w:rsid w:val="00E06926"/>
    <w:rsid w:val="00E741FA"/>
    <w:rsid w:val="00EC648E"/>
    <w:rsid w:val="00EF4F3A"/>
    <w:rsid w:val="00F0275C"/>
    <w:rsid w:val="00F25B77"/>
    <w:rsid w:val="00F41397"/>
    <w:rsid w:val="00F44CEE"/>
    <w:rsid w:val="00F55422"/>
    <w:rsid w:val="00FA0D44"/>
    <w:rsid w:val="00FA189E"/>
    <w:rsid w:val="00FA3D33"/>
    <w:rsid w:val="00FD6639"/>
    <w:rsid w:val="00FE0174"/>
    <w:rsid w:val="00FE58DA"/>
    <w:rsid w:val="00FF4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stroke="f">
      <v:fill color="white"/>
      <v:stroke on="f"/>
      <v:textbox inset="0,0,.5mm,0"/>
    </o:shapedefaults>
    <o:shapelayout v:ext="edit">
      <o:idmap v:ext="edit" data="1"/>
    </o:shapelayout>
  </w:shapeDefaults>
  <w:decimalSymbol w:val=","/>
  <w:listSeparator w:val=";"/>
  <w14:docId w14:val="699812D8"/>
  <w15:docId w15:val="{55376EDD-2E74-437E-AE7A-559EA717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3986"/>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link w:val="Fuzeile"/>
    <w:rsid w:val="00263140"/>
    <w:rPr>
      <w:rFonts w:ascii="Arial" w:hAnsi="Arial"/>
      <w:sz w:val="22"/>
      <w:szCs w:val="22"/>
    </w:rPr>
  </w:style>
  <w:style w:type="table" w:styleId="Tabellenraster">
    <w:name w:val="Table Grid"/>
    <w:basedOn w:val="NormaleTabelle"/>
    <w:uiPriority w:val="59"/>
    <w:rsid w:val="00AE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602FC"/>
    <w:rPr>
      <w:rFonts w:ascii="Calibri" w:eastAsia="Calibri" w:hAnsi="Calibri"/>
      <w:sz w:val="22"/>
      <w:szCs w:val="22"/>
      <w:lang w:eastAsia="en-US"/>
    </w:rPr>
  </w:style>
  <w:style w:type="character" w:styleId="BesuchterLink">
    <w:name w:val="FollowedHyperlink"/>
    <w:rsid w:val="00FA0D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2186-6337-4A70-8DCC-561AB851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vorlage_arbeitsblatt_2020_.dotx</Template>
  <TotalTime>0</TotalTime>
  <Pages>1</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Tödliche Exporte</dc:title>
  <dc:creator>SWR Planet Schule</dc:creator>
  <cp:lastModifiedBy>Oelschläger, Jutta</cp:lastModifiedBy>
  <cp:revision>6</cp:revision>
  <cp:lastPrinted>2015-08-04T13:32:00Z</cp:lastPrinted>
  <dcterms:created xsi:type="dcterms:W3CDTF">2020-08-10T17:43:00Z</dcterms:created>
  <dcterms:modified xsi:type="dcterms:W3CDTF">2020-08-13T09:06:00Z</dcterms:modified>
</cp:coreProperties>
</file>