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0DEB" w:rsidRPr="00066C53" w:rsidRDefault="007A7286" w:rsidP="000B4012">
      <w:pPr>
        <w:shd w:val="clear" w:color="auto" w:fill="E36C0A" w:themeFill="accent6" w:themeFillShade="BF"/>
        <w:spacing w:line="276" w:lineRule="auto"/>
        <w:rPr>
          <w:b/>
          <w:noProof/>
        </w:rPr>
      </w:pPr>
      <w:r>
        <w:rPr>
          <w:b/>
          <w:noProof/>
        </w:rPr>
        <w:t xml:space="preserve">Umgang mit </w:t>
      </w:r>
      <w:r w:rsidR="007C2D69">
        <w:rPr>
          <w:b/>
          <w:noProof/>
        </w:rPr>
        <w:t>Vorurteile</w:t>
      </w:r>
      <w:r>
        <w:rPr>
          <w:b/>
          <w:noProof/>
        </w:rPr>
        <w:t>n</w:t>
      </w:r>
    </w:p>
    <w:p w:rsidR="007C2D69" w:rsidRDefault="007C2D69" w:rsidP="007C2D69">
      <w:pPr>
        <w:spacing w:after="200" w:line="276" w:lineRule="auto"/>
      </w:pPr>
    </w:p>
    <w:p w:rsidR="007A7286" w:rsidRDefault="006C4304" w:rsidP="007A7286">
      <w:pPr>
        <w:spacing w:line="276" w:lineRule="auto"/>
        <w:rPr>
          <w:b/>
          <w:sz w:val="20"/>
          <w:szCs w:val="20"/>
        </w:rPr>
      </w:pPr>
      <w:r w:rsidRPr="007C2D69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4" o:spid="_x0000_s1094" type="#_x0000_t75" alt="01_stift.jpg" style="position:absolute;margin-left:-38.95pt;margin-top:-.05pt;width:30.25pt;height:30.05pt;z-index:1;visibility:visible" wrapcoords="-928 0 -928 20571 21352 20571 21352 0 -928 0">
            <v:imagedata r:id="rId7" o:title="01_stift"/>
            <w10:wrap type="through"/>
          </v:shape>
        </w:pict>
      </w:r>
      <w:r w:rsidR="007A7286" w:rsidRPr="007A7286">
        <w:rPr>
          <w:b/>
          <w:sz w:val="20"/>
          <w:szCs w:val="20"/>
        </w:rPr>
        <w:t>Um herauszufinden, wie man mit Vorurteilen umgeht, sollte man sich zuerst einmal überlegen, was Vorurteile eigentlich sind.</w:t>
      </w:r>
    </w:p>
    <w:p w:rsidR="007A7286" w:rsidRPr="007A7286" w:rsidRDefault="007A7286" w:rsidP="007A7286">
      <w:pPr>
        <w:spacing w:line="276" w:lineRule="auto"/>
        <w:rPr>
          <w:b/>
          <w:sz w:val="20"/>
          <w:szCs w:val="20"/>
        </w:rPr>
      </w:pPr>
    </w:p>
    <w:p w:rsidR="007A7286" w:rsidRDefault="007A7286" w:rsidP="007A7286">
      <w:pPr>
        <w:spacing w:line="276" w:lineRule="auto"/>
        <w:rPr>
          <w:sz w:val="20"/>
          <w:szCs w:val="20"/>
        </w:rPr>
      </w:pPr>
      <w:r w:rsidRPr="007A7286">
        <w:rPr>
          <w:sz w:val="20"/>
          <w:szCs w:val="20"/>
        </w:rPr>
        <w:t>Lies die Aussagen und überlege dir, welche davon richtig sind. Kreise den Buchstaben dahinter ein.</w:t>
      </w:r>
    </w:p>
    <w:p w:rsidR="007A7286" w:rsidRPr="007A7286" w:rsidRDefault="007A7286" w:rsidP="007A7286">
      <w:pPr>
        <w:spacing w:line="276" w:lineRule="auto"/>
        <w:rPr>
          <w:sz w:val="20"/>
          <w:szCs w:val="20"/>
        </w:rPr>
      </w:pPr>
    </w:p>
    <w:tbl>
      <w:tblPr>
        <w:tblW w:w="9665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9039"/>
        <w:gridCol w:w="626"/>
      </w:tblGrid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Das Wort Vorurteil setzt sich aus den Wörtern „vor“ und „Urteil“ zusammen.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T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 xml:space="preserve">Ein Vorurteil ist meist eine von anderen übernommene Meinung. 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O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Ein Vorurteil ist meist eine eigene Meinung, die auf Erfahrungen beruht.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I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Vorurteile über andere Menschen sind meistens negativ (schlecht).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L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Vorurteile über andere Menschen sind meistens positiv (gut).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A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 xml:space="preserve">Ein Vorurteil bildet man oft, wenn man Menschen schon gut kennt. 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W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Ein Vorurteil hat man, bevor man einen Menschen kennenlernt.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E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Vorurteile kann man leicht für ungültig erklären.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N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Vorurteile kann man nur sehr schwer rückgängig machen.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R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Auch Kinder können schon Vorurteile haben.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A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Nur Erwachsene haben Vorurteile.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U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Vorurteile beziehen sich oft auf bestimmte Menschengruppen („Dicke“, „Lehrer“,…)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N</w:t>
            </w:r>
          </w:p>
        </w:tc>
      </w:tr>
      <w:tr w:rsidR="007A7286" w:rsidRPr="00686F1A" w:rsidTr="00D04398">
        <w:tc>
          <w:tcPr>
            <w:tcW w:w="9039" w:type="dxa"/>
            <w:vAlign w:val="center"/>
          </w:tcPr>
          <w:p w:rsidR="007A7286" w:rsidRPr="006C4304" w:rsidRDefault="007A7286" w:rsidP="005F34A5">
            <w:pPr>
              <w:rPr>
                <w:sz w:val="20"/>
                <w:szCs w:val="20"/>
              </w:rPr>
            </w:pPr>
            <w:r w:rsidRPr="006C4304">
              <w:rPr>
                <w:sz w:val="20"/>
                <w:szCs w:val="20"/>
              </w:rPr>
              <w:t>Vorurteile kann man überwinden.</w:t>
            </w:r>
          </w:p>
        </w:tc>
        <w:tc>
          <w:tcPr>
            <w:tcW w:w="626" w:type="dxa"/>
            <w:vAlign w:val="center"/>
          </w:tcPr>
          <w:p w:rsidR="007A7286" w:rsidRPr="006C4304" w:rsidRDefault="007A7286" w:rsidP="007A7286">
            <w:pPr>
              <w:jc w:val="center"/>
              <w:rPr>
                <w:b/>
                <w:color w:val="E36C0A" w:themeColor="accent6" w:themeShade="BF"/>
                <w:sz w:val="32"/>
              </w:rPr>
            </w:pPr>
            <w:r w:rsidRPr="006C4304">
              <w:rPr>
                <w:b/>
                <w:color w:val="E36C0A" w:themeColor="accent6" w:themeShade="BF"/>
                <w:sz w:val="32"/>
              </w:rPr>
              <w:t>Z</w:t>
            </w:r>
          </w:p>
        </w:tc>
      </w:tr>
    </w:tbl>
    <w:p w:rsidR="007A7286" w:rsidRDefault="007A7286" w:rsidP="007A7286"/>
    <w:p w:rsidR="007A7286" w:rsidRPr="006C4304" w:rsidRDefault="007A7286" w:rsidP="007A7286">
      <w:pPr>
        <w:spacing w:after="200" w:line="276" w:lineRule="auto"/>
        <w:rPr>
          <w:sz w:val="20"/>
          <w:szCs w:val="20"/>
        </w:rPr>
      </w:pPr>
    </w:p>
    <w:p w:rsidR="007A7286" w:rsidRPr="006C4304" w:rsidRDefault="007A7286" w:rsidP="007A7286">
      <w:pPr>
        <w:spacing w:after="200" w:line="276" w:lineRule="auto"/>
        <w:rPr>
          <w:b/>
          <w:sz w:val="20"/>
          <w:szCs w:val="20"/>
        </w:rPr>
      </w:pPr>
      <w:r w:rsidRPr="006C4304">
        <w:rPr>
          <w:b/>
          <w:sz w:val="20"/>
          <w:szCs w:val="20"/>
        </w:rPr>
        <w:t>Wie kann man mit Vorurteilen umgehen beziehungsweise diese überwinden?</w:t>
      </w:r>
    </w:p>
    <w:p w:rsidR="007A7286" w:rsidRDefault="007A7286" w:rsidP="007A7286">
      <w:pPr>
        <w:spacing w:line="276" w:lineRule="auto"/>
        <w:rPr>
          <w:sz w:val="20"/>
          <w:szCs w:val="20"/>
        </w:rPr>
      </w:pPr>
      <w:r w:rsidRPr="007A7286">
        <w:rPr>
          <w:sz w:val="20"/>
          <w:szCs w:val="20"/>
        </w:rPr>
        <w:t>Lies die von dir eingekreisten Buchstaben von oben nach unten und übertrage sie in die Kreise. Sie ergeben das Lösungswort, wenn du alle richtigen Aussagen über Vorurteile eingekreist hast:</w:t>
      </w:r>
    </w:p>
    <w:p w:rsidR="007A7286" w:rsidRPr="007A7286" w:rsidRDefault="007A7286" w:rsidP="007A7286">
      <w:pPr>
        <w:spacing w:line="276" w:lineRule="auto"/>
        <w:rPr>
          <w:sz w:val="20"/>
          <w:szCs w:val="20"/>
        </w:rPr>
      </w:pPr>
    </w:p>
    <w:p w:rsidR="007A7286" w:rsidRDefault="00D04398" w:rsidP="007A7286">
      <w:pPr>
        <w:spacing w:after="200" w:line="276" w:lineRule="auto"/>
      </w:pPr>
      <w:r>
        <w:rPr>
          <w:noProof/>
        </w:rPr>
        <w:pict>
          <v:group id="_x0000_s1103" style="position:absolute;margin-left:35.15pt;margin-top:.1pt;width:355.5pt;height:36pt;z-index:2" coordorigin="1837,11488" coordsize="7110,72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5" type="#_x0000_t120" style="position:absolute;left:1837;top:11488;width:720;height:720" strokecolor="#e36c0a" strokeweight="2.25pt">
              <v:shadow color="#868686"/>
            </v:shape>
            <v:shape id="_x0000_s1096" type="#_x0000_t120" style="position:absolute;left:2767;top:11488;width:720;height:720" strokecolor="#e36c0a" strokeweight="2.25pt">
              <v:shadow color="#868686"/>
            </v:shape>
            <v:shape id="_x0000_s1097" type="#_x0000_t120" style="position:absolute;left:3697;top:11488;width:720;height:720" strokecolor="#e36c0a" strokeweight="2.25pt">
              <v:shadow color="#868686"/>
            </v:shape>
            <v:shape id="_x0000_s1098" type="#_x0000_t120" style="position:absolute;left:4612;top:11488;width:720;height:720" strokecolor="#e36c0a" strokeweight="2.25pt">
              <v:shadow color="#868686"/>
            </v:shape>
            <v:shape id="_x0000_s1099" type="#_x0000_t120" style="position:absolute;left:5542;top:11488;width:720;height:720" strokecolor="#e36c0a" strokeweight="2.25pt">
              <v:shadow color="#868686"/>
            </v:shape>
            <v:shape id="_x0000_s1100" type="#_x0000_t120" style="position:absolute;left:6412;top:11488;width:720;height:720" strokecolor="#e36c0a" strokeweight="2.25pt">
              <v:shadow color="#868686"/>
            </v:shape>
            <v:shape id="_x0000_s1101" type="#_x0000_t120" style="position:absolute;left:7327;top:11488;width:720;height:720" strokecolor="#e36c0a" strokeweight="2.25pt">
              <v:shadow color="#868686"/>
            </v:shape>
            <v:shape id="_x0000_s1102" type="#_x0000_t120" style="position:absolute;left:8227;top:11488;width:720;height:720" strokecolor="#e36c0a" strokeweight="2.25pt">
              <v:shadow color="#868686"/>
            </v:shape>
          </v:group>
        </w:pict>
      </w:r>
    </w:p>
    <w:p w:rsidR="007A7286" w:rsidRDefault="007A7286" w:rsidP="007A7286">
      <w:pPr>
        <w:spacing w:after="200" w:line="276" w:lineRule="auto"/>
      </w:pPr>
    </w:p>
    <w:p w:rsidR="007A7286" w:rsidRPr="007A7286" w:rsidRDefault="00BB4625" w:rsidP="007A7286">
      <w:pPr>
        <w:rPr>
          <w:sz w:val="20"/>
          <w:szCs w:val="20"/>
        </w:rPr>
      </w:pPr>
      <w:r w:rsidRPr="00BB4625">
        <w:rPr>
          <w:color w:val="E36C0A" w:themeColor="accent6" w:themeShade="BF"/>
          <w:sz w:val="20"/>
          <w:szCs w:val="20"/>
        </w:rPr>
        <w:t xml:space="preserve">● </w:t>
      </w:r>
      <w:r w:rsidR="007A7286" w:rsidRPr="007A7286">
        <w:rPr>
          <w:sz w:val="20"/>
          <w:szCs w:val="20"/>
        </w:rPr>
        <w:t xml:space="preserve">Was bedeutet dieses Wort? </w:t>
      </w:r>
    </w:p>
    <w:p w:rsidR="007A7286" w:rsidRDefault="007A7286" w:rsidP="007A7286">
      <w:pPr>
        <w:rPr>
          <w:sz w:val="20"/>
          <w:szCs w:val="20"/>
        </w:rPr>
      </w:pPr>
    </w:p>
    <w:p w:rsidR="007A7286" w:rsidRPr="007A7286" w:rsidRDefault="00BB4625" w:rsidP="00BB4625">
      <w:pPr>
        <w:ind w:left="142" w:hanging="142"/>
        <w:rPr>
          <w:sz w:val="20"/>
          <w:szCs w:val="20"/>
        </w:rPr>
      </w:pPr>
      <w:r w:rsidRPr="00BB4625">
        <w:rPr>
          <w:color w:val="E36C0A" w:themeColor="accent6" w:themeShade="BF"/>
          <w:sz w:val="20"/>
          <w:szCs w:val="20"/>
        </w:rPr>
        <w:t xml:space="preserve">● </w:t>
      </w:r>
      <w:r w:rsidR="007A7286" w:rsidRPr="007A7286">
        <w:rPr>
          <w:sz w:val="20"/>
          <w:szCs w:val="20"/>
        </w:rPr>
        <w:t xml:space="preserve">Inwiefern kann es helfen Vorurteile zu überwinden beziehungsweise diese gar nicht erst entstehen zu lassen? Reicht das alleine schon aus, um Vorurteile zu überwinden? </w:t>
      </w:r>
    </w:p>
    <w:p w:rsidR="007A7286" w:rsidRDefault="007A7286" w:rsidP="007A7286">
      <w:pPr>
        <w:rPr>
          <w:sz w:val="20"/>
          <w:szCs w:val="20"/>
        </w:rPr>
      </w:pPr>
    </w:p>
    <w:p w:rsidR="007A7286" w:rsidRPr="007A7286" w:rsidRDefault="00BB4625" w:rsidP="007A7286">
      <w:pPr>
        <w:rPr>
          <w:sz w:val="20"/>
          <w:szCs w:val="20"/>
        </w:rPr>
      </w:pPr>
      <w:r w:rsidRPr="00BB4625">
        <w:rPr>
          <w:color w:val="E36C0A" w:themeColor="accent6" w:themeShade="BF"/>
          <w:sz w:val="20"/>
          <w:szCs w:val="20"/>
        </w:rPr>
        <w:t xml:space="preserve">● </w:t>
      </w:r>
      <w:r w:rsidR="007A7286" w:rsidRPr="007A7286">
        <w:rPr>
          <w:sz w:val="20"/>
          <w:szCs w:val="20"/>
        </w:rPr>
        <w:t xml:space="preserve">Kann Freundschaft helfen, Vorurteile zu überwinden? </w:t>
      </w:r>
    </w:p>
    <w:p w:rsidR="007A7286" w:rsidRDefault="007A7286" w:rsidP="007A7286">
      <w:pPr>
        <w:rPr>
          <w:sz w:val="20"/>
          <w:szCs w:val="20"/>
        </w:rPr>
      </w:pPr>
    </w:p>
    <w:p w:rsidR="007A7286" w:rsidRPr="007A7286" w:rsidRDefault="00BB4625" w:rsidP="007A7286">
      <w:pPr>
        <w:rPr>
          <w:sz w:val="20"/>
          <w:szCs w:val="20"/>
        </w:rPr>
      </w:pPr>
      <w:r w:rsidRPr="00BB4625">
        <w:rPr>
          <w:color w:val="E36C0A" w:themeColor="accent6" w:themeShade="BF"/>
          <w:sz w:val="20"/>
          <w:szCs w:val="20"/>
        </w:rPr>
        <w:t xml:space="preserve">● </w:t>
      </w:r>
      <w:r w:rsidR="007A7286" w:rsidRPr="007A7286">
        <w:rPr>
          <w:sz w:val="20"/>
          <w:szCs w:val="20"/>
        </w:rPr>
        <w:t>Sprecht in der Klasse darüber.</w:t>
      </w:r>
    </w:p>
    <w:p w:rsidR="007A7286" w:rsidRDefault="007A7286" w:rsidP="007A7286">
      <w:pPr>
        <w:rPr>
          <w:sz w:val="20"/>
          <w:szCs w:val="20"/>
        </w:rPr>
      </w:pPr>
    </w:p>
    <w:p w:rsidR="007A7286" w:rsidRPr="007A7286" w:rsidRDefault="00BB4625" w:rsidP="00BB4625">
      <w:pPr>
        <w:ind w:left="142" w:hanging="142"/>
        <w:rPr>
          <w:sz w:val="20"/>
          <w:szCs w:val="20"/>
        </w:rPr>
      </w:pPr>
      <w:r w:rsidRPr="00BB4625">
        <w:rPr>
          <w:color w:val="E36C0A" w:themeColor="accent6" w:themeShade="BF"/>
          <w:sz w:val="20"/>
          <w:szCs w:val="20"/>
        </w:rPr>
        <w:t xml:space="preserve">● </w:t>
      </w:r>
      <w:r w:rsidR="007A7286" w:rsidRPr="007A7286">
        <w:rPr>
          <w:sz w:val="20"/>
          <w:szCs w:val="20"/>
        </w:rPr>
        <w:t>Sammelt abschließend noch gemeinsam Vorurteile zu verschiedenen Menschengruppen und überlegt, wie ihr diesen begegnen könnt b</w:t>
      </w:r>
      <w:r w:rsidR="007A7286">
        <w:rPr>
          <w:sz w:val="20"/>
          <w:szCs w:val="20"/>
        </w:rPr>
        <w:t>eziehungsweise</w:t>
      </w:r>
      <w:r w:rsidR="007A7286" w:rsidRPr="007A7286">
        <w:rPr>
          <w:sz w:val="20"/>
          <w:szCs w:val="20"/>
        </w:rPr>
        <w:t xml:space="preserve"> die</w:t>
      </w:r>
      <w:r w:rsidR="006C4304">
        <w:rPr>
          <w:sz w:val="20"/>
          <w:szCs w:val="20"/>
        </w:rPr>
        <w:t xml:space="preserve"> Vorurteile </w:t>
      </w:r>
      <w:r w:rsidR="007A7286" w:rsidRPr="007A7286">
        <w:rPr>
          <w:sz w:val="20"/>
          <w:szCs w:val="20"/>
        </w:rPr>
        <w:t>überwinden könnt.</w:t>
      </w:r>
    </w:p>
    <w:p w:rsidR="007C2D69" w:rsidRDefault="007C2D69" w:rsidP="007A7286">
      <w:pPr>
        <w:spacing w:line="276" w:lineRule="auto"/>
        <w:jc w:val="both"/>
      </w:pPr>
    </w:p>
    <w:sectPr w:rsidR="007C2D69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4E" w:rsidRDefault="0096074E" w:rsidP="00263140">
      <w:r>
        <w:separator/>
      </w:r>
    </w:p>
  </w:endnote>
  <w:endnote w:type="continuationSeparator" w:id="0">
    <w:p w:rsidR="0096074E" w:rsidRDefault="0096074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40FF7">
    <w:pPr>
      <w:pStyle w:val="Fuzeile"/>
      <w:rPr>
        <w:rFonts w:ascii="ITCOfficinaSans LT Book" w:hAnsi="ITCOfficinaSans LT Book"/>
        <w:b/>
        <w:sz w:val="18"/>
        <w:szCs w:val="18"/>
      </w:rPr>
    </w:pPr>
    <w:r w:rsidRPr="00E40FF7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4E" w:rsidRDefault="0096074E" w:rsidP="00263140">
      <w:r>
        <w:separator/>
      </w:r>
    </w:p>
  </w:footnote>
  <w:footnote w:type="continuationSeparator" w:id="0">
    <w:p w:rsidR="0096074E" w:rsidRDefault="0096074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40FF7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E40FF7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61020">
      <w:rPr>
        <w:b/>
      </w:rPr>
      <w:t xml:space="preserve">Arbeitsblatt </w:t>
    </w:r>
    <w:r w:rsidR="007A7286">
      <w:rPr>
        <w:b/>
      </w:rPr>
      <w:t>9</w:t>
    </w:r>
    <w:r w:rsidR="00FD6639" w:rsidRPr="00955C65">
      <w:rPr>
        <w:b/>
      </w:rPr>
      <w:t xml:space="preserve">: </w:t>
    </w:r>
    <w:r w:rsidR="007A7286">
      <w:rPr>
        <w:b/>
      </w:rPr>
      <w:t xml:space="preserve">Umgang mit </w:t>
    </w:r>
    <w:r w:rsidR="007C2D69">
      <w:rPr>
        <w:b/>
      </w:rPr>
      <w:t>Vorurtei</w:t>
    </w:r>
    <w:r w:rsidR="007A7286">
      <w:rPr>
        <w:b/>
      </w:rPr>
      <w:t>l</w:t>
    </w:r>
    <w:r w:rsidR="007C2D69">
      <w:rPr>
        <w:b/>
      </w:rPr>
      <w:t>e</w:t>
    </w:r>
    <w:r w:rsidR="007A7286">
      <w:rPr>
        <w:b/>
      </w:rPr>
      <w:t>n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650DEB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>Ich kenne ein Tier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>Wolf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 w:rsidRPr="00650DEB">
      <w:rPr>
        <w:sz w:val="18"/>
        <w:szCs w:val="18"/>
      </w:rPr>
      <w:t>4688263</w:t>
    </w:r>
    <w:r w:rsidRPr="00955C65">
      <w:rPr>
        <w:sz w:val="16"/>
        <w:szCs w:val="16"/>
      </w:rPr>
      <w:t xml:space="preserve">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5D"/>
    <w:rsid w:val="00001B03"/>
    <w:rsid w:val="00024369"/>
    <w:rsid w:val="00027F5B"/>
    <w:rsid w:val="000429BB"/>
    <w:rsid w:val="00061020"/>
    <w:rsid w:val="000A2378"/>
    <w:rsid w:val="000B4012"/>
    <w:rsid w:val="000B6904"/>
    <w:rsid w:val="000D7308"/>
    <w:rsid w:val="000E5125"/>
    <w:rsid w:val="000F4635"/>
    <w:rsid w:val="000F4972"/>
    <w:rsid w:val="00123A71"/>
    <w:rsid w:val="00144E24"/>
    <w:rsid w:val="001724D8"/>
    <w:rsid w:val="001870CF"/>
    <w:rsid w:val="001B690E"/>
    <w:rsid w:val="001C01D3"/>
    <w:rsid w:val="001C0552"/>
    <w:rsid w:val="001D4930"/>
    <w:rsid w:val="002405E1"/>
    <w:rsid w:val="00263140"/>
    <w:rsid w:val="002841AF"/>
    <w:rsid w:val="002A66EB"/>
    <w:rsid w:val="003142A3"/>
    <w:rsid w:val="003624A5"/>
    <w:rsid w:val="00384789"/>
    <w:rsid w:val="003979D8"/>
    <w:rsid w:val="003A076E"/>
    <w:rsid w:val="003B7796"/>
    <w:rsid w:val="003C6E71"/>
    <w:rsid w:val="00401AD6"/>
    <w:rsid w:val="00424F70"/>
    <w:rsid w:val="00453C39"/>
    <w:rsid w:val="00476A04"/>
    <w:rsid w:val="004D1C66"/>
    <w:rsid w:val="004D61EC"/>
    <w:rsid w:val="004E0585"/>
    <w:rsid w:val="004E32CC"/>
    <w:rsid w:val="005357E7"/>
    <w:rsid w:val="00543741"/>
    <w:rsid w:val="00547257"/>
    <w:rsid w:val="005631E9"/>
    <w:rsid w:val="00584937"/>
    <w:rsid w:val="005940D8"/>
    <w:rsid w:val="00623C59"/>
    <w:rsid w:val="00630C9D"/>
    <w:rsid w:val="00650DEB"/>
    <w:rsid w:val="006832F7"/>
    <w:rsid w:val="006B0A1A"/>
    <w:rsid w:val="006B4884"/>
    <w:rsid w:val="006C328A"/>
    <w:rsid w:val="006C4304"/>
    <w:rsid w:val="006D0F9E"/>
    <w:rsid w:val="006E526F"/>
    <w:rsid w:val="006E6D08"/>
    <w:rsid w:val="006E71B7"/>
    <w:rsid w:val="00704F8E"/>
    <w:rsid w:val="00706784"/>
    <w:rsid w:val="00710ABA"/>
    <w:rsid w:val="00710F3C"/>
    <w:rsid w:val="007A7286"/>
    <w:rsid w:val="007C2D69"/>
    <w:rsid w:val="007D2B2C"/>
    <w:rsid w:val="007F06B5"/>
    <w:rsid w:val="008018DF"/>
    <w:rsid w:val="00810655"/>
    <w:rsid w:val="008358A7"/>
    <w:rsid w:val="008D370F"/>
    <w:rsid w:val="008D489A"/>
    <w:rsid w:val="009140C5"/>
    <w:rsid w:val="00955C65"/>
    <w:rsid w:val="0096074E"/>
    <w:rsid w:val="009A06B5"/>
    <w:rsid w:val="009A101C"/>
    <w:rsid w:val="009A464F"/>
    <w:rsid w:val="009A789B"/>
    <w:rsid w:val="009A7E01"/>
    <w:rsid w:val="009B736F"/>
    <w:rsid w:val="009D0387"/>
    <w:rsid w:val="009E4A6B"/>
    <w:rsid w:val="00A03955"/>
    <w:rsid w:val="00A14801"/>
    <w:rsid w:val="00A34A08"/>
    <w:rsid w:val="00A44108"/>
    <w:rsid w:val="00A94B61"/>
    <w:rsid w:val="00AB506B"/>
    <w:rsid w:val="00AE2A3F"/>
    <w:rsid w:val="00B24E76"/>
    <w:rsid w:val="00B5596F"/>
    <w:rsid w:val="00BB4625"/>
    <w:rsid w:val="00BF2E90"/>
    <w:rsid w:val="00BF6418"/>
    <w:rsid w:val="00C1110B"/>
    <w:rsid w:val="00C12399"/>
    <w:rsid w:val="00C15078"/>
    <w:rsid w:val="00C4168F"/>
    <w:rsid w:val="00C5401E"/>
    <w:rsid w:val="00C5569C"/>
    <w:rsid w:val="00C81B52"/>
    <w:rsid w:val="00CC1F14"/>
    <w:rsid w:val="00CC6745"/>
    <w:rsid w:val="00CD3472"/>
    <w:rsid w:val="00CD49F8"/>
    <w:rsid w:val="00CF2E51"/>
    <w:rsid w:val="00CF476E"/>
    <w:rsid w:val="00D04398"/>
    <w:rsid w:val="00D077B3"/>
    <w:rsid w:val="00D10417"/>
    <w:rsid w:val="00D41041"/>
    <w:rsid w:val="00D65AED"/>
    <w:rsid w:val="00DA0F20"/>
    <w:rsid w:val="00DA21E4"/>
    <w:rsid w:val="00DC3F9F"/>
    <w:rsid w:val="00DD245D"/>
    <w:rsid w:val="00DE50A5"/>
    <w:rsid w:val="00E06926"/>
    <w:rsid w:val="00E40FF7"/>
    <w:rsid w:val="00E741FA"/>
    <w:rsid w:val="00EC648E"/>
    <w:rsid w:val="00F0275C"/>
    <w:rsid w:val="00F06A80"/>
    <w:rsid w:val="00F25B77"/>
    <w:rsid w:val="00F55422"/>
    <w:rsid w:val="00F65547"/>
    <w:rsid w:val="00F976B8"/>
    <w:rsid w:val="00FA189E"/>
    <w:rsid w:val="00FB4C99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DEB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A3EA-F5CD-49D1-99F7-140A61EB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5</cp:revision>
  <cp:lastPrinted>2015-08-04T13:32:00Z</cp:lastPrinted>
  <dcterms:created xsi:type="dcterms:W3CDTF">2017-11-26T15:30:00Z</dcterms:created>
  <dcterms:modified xsi:type="dcterms:W3CDTF">2017-11-26T15:34:00Z</dcterms:modified>
</cp:coreProperties>
</file>